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345" w:tblpY="-1140"/>
        <w:tblW w:w="1125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"/>
        <w:gridCol w:w="3800"/>
        <w:gridCol w:w="1823"/>
        <w:gridCol w:w="2134"/>
        <w:gridCol w:w="2834"/>
      </w:tblGrid>
      <w:tr w:rsidR="006335F3" w:rsidTr="006335F3">
        <w:trPr>
          <w:trHeight w:val="1060"/>
          <w:tblCellSpacing w:w="15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  <w:jc w:val="center"/>
            </w:pPr>
            <w:r>
              <w:t>№п/п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  <w:jc w:val="center"/>
            </w:pPr>
            <w:r>
              <w:t>Наименование проекта правового акта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  <w:jc w:val="center"/>
            </w:pPr>
            <w:r>
              <w:t>Разработчик (Субъект права законодательной инициативы)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  <w:jc w:val="center"/>
            </w:pPr>
            <w:r>
              <w:t>Информация об этапе разработки проекта правового акта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  <w:jc w:val="center"/>
            </w:pPr>
            <w:r>
              <w:t>Примечание</w:t>
            </w:r>
          </w:p>
        </w:tc>
      </w:tr>
      <w:tr w:rsidR="006335F3" w:rsidTr="006335F3">
        <w:trPr>
          <w:tblCellSpacing w:w="15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1.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hyperlink r:id="rId4" w:anchor="npa=134894" w:history="1">
              <w:r>
                <w:rPr>
                  <w:rStyle w:val="a3"/>
                </w:rPr>
                <w:t xml:space="preserve">Проект </w:t>
              </w:r>
              <w:proofErr w:type="gramStart"/>
              <w:r>
                <w:rPr>
                  <w:rStyle w:val="a3"/>
                </w:rPr>
                <w:t>приказа  Минстроя</w:t>
              </w:r>
              <w:proofErr w:type="gramEnd"/>
              <w:r>
                <w:rPr>
                  <w:rStyle w:val="a3"/>
                </w:rPr>
                <w:t xml:space="preserve"> России «Об утверждении Административного регламента Министерства строительства и жилищно-коммунального хозяйства Российской Федерации по предоставлению государственной услуги «Согласование специальных технических условий для разработки проектной документации на объект капитального строительства».</w:t>
              </w:r>
            </w:hyperlink>
          </w:p>
          <w:p w:rsidR="006335F3" w:rsidRDefault="006335F3" w:rsidP="006335F3">
            <w:pPr>
              <w:pStyle w:val="a6"/>
            </w:pPr>
            <w:r>
              <w:t> 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Минстрой России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Проводится независимая антикоррупционная экспертиза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   Административный регламент устанавливает порядок и стандарт предоставления государственной услуги «Согласование специальных технических условий для разработки проектной документации на объект капитального строительства.</w:t>
            </w:r>
          </w:p>
          <w:p w:rsidR="006335F3" w:rsidRDefault="006335F3" w:rsidP="006335F3">
            <w:pPr>
              <w:pStyle w:val="a6"/>
            </w:pPr>
            <w:r>
              <w:t>      Услуга предоставляется физическим лицам, индивидуальным предпринимателям, юридическим лицам, указанным в таблице 1 приложения № 1 к настоящему Административному регламенту.</w:t>
            </w:r>
          </w:p>
          <w:p w:rsidR="006335F3" w:rsidRDefault="006335F3" w:rsidP="006335F3">
            <w:pPr>
              <w:pStyle w:val="a6"/>
            </w:pPr>
            <w:r>
              <w:t>        Услуга должна быть предоставлена заявителю в соответствии с вариантом предоставления Услуги.</w:t>
            </w:r>
          </w:p>
          <w:p w:rsidR="006335F3" w:rsidRDefault="006335F3" w:rsidP="006335F3">
            <w:pPr>
              <w:pStyle w:val="a6"/>
            </w:pPr>
            <w:r>
              <w:t>       Вариант определяется в соответствии с таблицей 2 приложения № 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      </w:r>
          </w:p>
          <w:p w:rsidR="006335F3" w:rsidRDefault="006335F3" w:rsidP="006335F3">
            <w:pPr>
              <w:pStyle w:val="a6"/>
            </w:pPr>
            <w:r>
              <w:t xml:space="preserve">        Признаки заявителя определяются </w:t>
            </w:r>
            <w:proofErr w:type="spellStart"/>
            <w:r>
              <w:t>путем</w:t>
            </w:r>
            <w:proofErr w:type="spellEnd"/>
            <w:r>
              <w:t xml:space="preserve"> профилирования, </w:t>
            </w:r>
            <w:r>
              <w:lastRenderedPageBreak/>
              <w:t>осуществляемого в соответствии с настоящим Административным регламентом.</w:t>
            </w:r>
          </w:p>
        </w:tc>
      </w:tr>
      <w:tr w:rsidR="006335F3" w:rsidTr="006335F3">
        <w:trPr>
          <w:tblCellSpacing w:w="15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lastRenderedPageBreak/>
              <w:t>2.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hyperlink r:id="rId5" w:anchor="npa=134883" w:history="1">
              <w:r>
                <w:rPr>
                  <w:rStyle w:val="a3"/>
                </w:rPr>
                <w:t>Проект постановления Правительства РФ «О внесении изменений в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строительства».</w:t>
              </w:r>
            </w:hyperlink>
          </w:p>
          <w:p w:rsidR="006335F3" w:rsidRDefault="006335F3" w:rsidP="006335F3">
            <w:pPr>
              <w:pStyle w:val="a6"/>
            </w:pPr>
            <w:r>
              <w:t> </w:t>
            </w:r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Минстрой России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Проводятся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      Разработан в связи с принятием Федерального закона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Федерации».</w:t>
            </w:r>
          </w:p>
          <w:p w:rsidR="006335F3" w:rsidRDefault="006335F3" w:rsidP="006335F3">
            <w:pPr>
              <w:pStyle w:val="a6"/>
            </w:pPr>
            <w:r>
              <w:t xml:space="preserve">     Исчерпывающий перечень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3 - 7 статьи 5.2 Градостроительного кодекса Российской Федерации мероприятий при реализации проекта по строительству объекта капитального строительства, </w:t>
            </w:r>
            <w:proofErr w:type="spellStart"/>
            <w:r>
              <w:t>утвержден</w:t>
            </w:r>
            <w:proofErr w:type="spellEnd"/>
            <w:r>
              <w:t xml:space="preserve"> постановлением Правительства Российской Федерации от 25 декабря 2021 г. № 2490</w:t>
            </w:r>
          </w:p>
          <w:p w:rsidR="006335F3" w:rsidRDefault="006335F3" w:rsidP="006335F3">
            <w:pPr>
              <w:pStyle w:val="a6"/>
            </w:pPr>
            <w:r>
              <w:t xml:space="preserve">     Законом внесены изменения в Градостроительный кодекс Российской </w:t>
            </w:r>
            <w:r>
              <w:lastRenderedPageBreak/>
              <w:t>Федерации, согласно которым из перечня документов, представляемых застройщиками для выдачи разрешений на строительство и на ввод в эксплуатацию, исключаются документы, которые имеются в распоряжении органов власти и могут быть запрошены в порядке межведомственного взаимодействия либо не нужны для ввода объектов.</w:t>
            </w:r>
          </w:p>
        </w:tc>
      </w:tr>
      <w:tr w:rsidR="006335F3" w:rsidTr="006335F3">
        <w:trPr>
          <w:tblCellSpacing w:w="15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lastRenderedPageBreak/>
              <w:t>3.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hyperlink r:id="rId6" w:history="1">
              <w:r>
                <w:rPr>
                  <w:rStyle w:val="a3"/>
                </w:rPr>
                <w:t>Федеральный закон от 29.12.2022 № 612-ФЗ "О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Федерации"</w:t>
              </w:r>
            </w:hyperlink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Минстрой России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 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В частности, указанным документом установлено, что:</w:t>
            </w:r>
          </w:p>
          <w:p w:rsidR="006335F3" w:rsidRDefault="006335F3" w:rsidP="006335F3">
            <w:pPr>
              <w:pStyle w:val="a6"/>
            </w:pPr>
            <w:r>
              <w:t xml:space="preserve">– требования к архитектурно-градостроительному облику объекта капитального строительства включают в себя требования к </w:t>
            </w:r>
            <w:proofErr w:type="spellStart"/>
            <w:r>
              <w:t>объемно</w:t>
            </w:r>
            <w:proofErr w:type="spellEnd"/>
            <w:r>
              <w:t>-пространственным, архитектурно-стилистическим и иным характеристикам объекта капитального строительства, которые устанавливаются Правительством Российской Федерации;</w:t>
            </w:r>
          </w:p>
          <w:p w:rsidR="006335F3" w:rsidRDefault="006335F3" w:rsidP="006335F3">
            <w:pPr>
              <w:pStyle w:val="a6"/>
            </w:pPr>
            <w:r>
              <w:t xml:space="preserve">– архитектурно-градостроительный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строительства, реконструкции объекта капитального </w:t>
            </w:r>
            <w:r>
              <w:lastRenderedPageBreak/>
              <w:t>строительства;</w:t>
            </w:r>
          </w:p>
          <w:p w:rsidR="006335F3" w:rsidRDefault="006335F3" w:rsidP="006335F3">
            <w:pPr>
              <w:pStyle w:val="a6"/>
            </w:pPr>
            <w:r>
              <w:t>– срок выдачи согласования архитектурно-градостроительного облика объекта капитального строительства не может превышать десять рабочих дней;</w:t>
            </w:r>
          </w:p>
          <w:p w:rsidR="006335F3" w:rsidRDefault="006335F3" w:rsidP="006335F3">
            <w:pPr>
              <w:pStyle w:val="a6"/>
            </w:pPr>
            <w:r>
              <w:t xml:space="preserve">– </w:t>
            </w:r>
            <w:proofErr w:type="spellStart"/>
            <w:r>
              <w:t>определен</w:t>
            </w:r>
            <w:proofErr w:type="spellEnd"/>
            <w:r>
              <w:t xml:space="preserve"> перечень объектов, для которых согласование архитектурно-градостроительного облика не требуется (объекты, для которых действие </w:t>
            </w:r>
            <w:proofErr w:type="spellStart"/>
            <w:r>
              <w:t>градрегламентов</w:t>
            </w:r>
            <w:proofErr w:type="spellEnd"/>
            <w:r>
              <w:t xml:space="preserve"> не распространяются, объекты, для которых не требуется получение разрешение на строительство, объекты, находящихся в пользовании учреждений, исполняющих наказание, объекты обороны и безопасности, а также объекты, </w:t>
            </w:r>
            <w:proofErr w:type="spellStart"/>
            <w:r>
              <w:t>определенные</w:t>
            </w:r>
            <w:proofErr w:type="spellEnd"/>
            <w:r>
              <w:t xml:space="preserve"> Правительством РФ и нормативными правовыми актами органов государственной власти субъектов Российской Федерации);</w:t>
            </w:r>
          </w:p>
          <w:p w:rsidR="006335F3" w:rsidRDefault="006335F3" w:rsidP="006335F3">
            <w:pPr>
              <w:pStyle w:val="a6"/>
            </w:pPr>
            <w:r>
              <w:t xml:space="preserve">– основанием для отказа в согласовании архитектурно-градостроительного облика объекта капитального строительства является несоответствие архитектурных решений объекта капитального строительства, определяющих его архитектурно-градостроительный облик </w:t>
            </w:r>
            <w:r>
              <w:lastRenderedPageBreak/>
              <w:t>и содержащихся в проектной документации либо в задании застройщика или технического заказчика на проектирование объекта капитального строительства, требованиям к архитектурно-градостроительному облику объекта капитального строительства, указанным в градостроительном регламенте;</w:t>
            </w:r>
          </w:p>
          <w:p w:rsidR="006335F3" w:rsidRDefault="006335F3" w:rsidP="006335F3">
            <w:pPr>
              <w:pStyle w:val="a6"/>
            </w:pPr>
            <w:r>
              <w:t>– порядок согласования архитектурно-градостроительного облика объекта капитального строительства устанавливается Правительством Российской Федерации.</w:t>
            </w:r>
          </w:p>
          <w:p w:rsidR="006335F3" w:rsidRDefault="006335F3" w:rsidP="006335F3">
            <w:pPr>
              <w:pStyle w:val="a6"/>
            </w:pPr>
            <w:r>
              <w:t>– Федеральный закон от 29.12.2022 г. № 612-ФЗ вступает в силу с 01.03.2023 г., за исключением положений, для которых установлены иные сроки вступления их в силу.</w:t>
            </w:r>
          </w:p>
        </w:tc>
      </w:tr>
      <w:tr w:rsidR="006335F3" w:rsidTr="006335F3">
        <w:trPr>
          <w:tblCellSpacing w:w="15" w:type="dxa"/>
        </w:trPr>
        <w:tc>
          <w:tcPr>
            <w:tcW w:w="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lastRenderedPageBreak/>
              <w:t>4.</w:t>
            </w:r>
          </w:p>
        </w:tc>
        <w:tc>
          <w:tcPr>
            <w:tcW w:w="3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hyperlink r:id="rId7" w:anchor="npa=135165" w:history="1">
              <w:r>
                <w:rPr>
                  <w:rStyle w:val="a3"/>
                </w:rPr>
                <w:t>Проект постановления Правительства РФ «О внесении изменений в постановление Правительства Российской Федерации от 24 марта 2022 г.  № 448».</w:t>
              </w:r>
            </w:hyperlink>
          </w:p>
        </w:tc>
        <w:tc>
          <w:tcPr>
            <w:tcW w:w="1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Ростехнадзор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>Проводятся публичные обсуждения в отношении текста проекта нормативно правового акта и антикоррупционная экспертиза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35F3" w:rsidRDefault="006335F3" w:rsidP="006335F3">
            <w:pPr>
              <w:pStyle w:val="a6"/>
            </w:pPr>
            <w:r>
              <w:t xml:space="preserve">     Частью 16 статьи 54 </w:t>
            </w:r>
            <w:proofErr w:type="spellStart"/>
            <w:r>
              <w:t>ГрК</w:t>
            </w:r>
            <w:proofErr w:type="spellEnd"/>
            <w:r>
              <w:t xml:space="preserve"> РФ установлено, что после завершения строительства, реконструкции объекта капитального строительства органом государственного строительного надзора должна проводиться выездная проверка, по результатам которой оцениваются выполненные работы и принимается решение о </w:t>
            </w:r>
            <w:r>
              <w:lastRenderedPageBreak/>
              <w:t>выдаче заключения</w:t>
            </w:r>
          </w:p>
          <w:p w:rsidR="006335F3" w:rsidRDefault="006335F3" w:rsidP="006335F3">
            <w:pPr>
              <w:pStyle w:val="a6"/>
            </w:pPr>
            <w:r>
              <w:t xml:space="preserve">‎о соответствии построенного, реконструированного объекта капитального строительства требованиям </w:t>
            </w:r>
            <w:proofErr w:type="spellStart"/>
            <w:r>
              <w:t>утвержденной</w:t>
            </w:r>
            <w:proofErr w:type="spellEnd"/>
            <w:r>
              <w:t xml:space="preserve"> в установленном порядке проектной документации.    </w:t>
            </w:r>
          </w:p>
          <w:p w:rsidR="006335F3" w:rsidRDefault="006335F3" w:rsidP="006335F3">
            <w:pPr>
              <w:pStyle w:val="a6"/>
            </w:pPr>
            <w:r>
              <w:t>Проект постановления Правительства Российской Федерации подготовлен в целях недопущения срыва сроков ввода в эксплуатацию объектов капитального строительства, застройщиками (техническими заказчиками) которых являются организации, осуществляющие также деятельность в области информационных технологий.</w:t>
            </w:r>
          </w:p>
          <w:p w:rsidR="006335F3" w:rsidRDefault="006335F3" w:rsidP="006335F3">
            <w:pPr>
              <w:pStyle w:val="a6"/>
            </w:pPr>
            <w:r>
              <w:t xml:space="preserve">    Предлагается внести изменения в пункт 1 постановления Правительства РФ от 24 марта 2022 г. № 448 «Об особенностях осуществления государственного контроля (надзора), муниципального контроля в отношении аккредитованных организаций, осуществляющих деятельность в области информационных технологий, и о внесении изменений в некоторые акты Правительства Российской Федерации»,  проведения контрольных </w:t>
            </w:r>
            <w:r>
              <w:lastRenderedPageBreak/>
              <w:t>(надзорных) мероприятий в рамках государственного строительного надзора при наступлении события, указанного в программе проверок.</w:t>
            </w:r>
          </w:p>
        </w:tc>
      </w:tr>
    </w:tbl>
    <w:p w:rsidR="000A4D1C" w:rsidRPr="006335F3" w:rsidRDefault="000A4D1C" w:rsidP="006335F3"/>
    <w:sectPr w:rsidR="000A4D1C" w:rsidRPr="0063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1C"/>
    <w:rsid w:val="000A4D1C"/>
    <w:rsid w:val="004E0264"/>
    <w:rsid w:val="006335F3"/>
    <w:rsid w:val="009213F0"/>
    <w:rsid w:val="00B74F7B"/>
    <w:rsid w:val="00CF65A3"/>
    <w:rsid w:val="00F5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3DA2"/>
  <w15:chartTrackingRefBased/>
  <w15:docId w15:val="{E9EAB647-41E6-4B7D-8A19-A311A2BC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213F0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3F0"/>
    <w:rPr>
      <w:rFonts w:ascii="Times New Roman" w:eastAsiaTheme="majorEastAsia" w:hAnsi="Times New Roman" w:cstheme="majorBidi"/>
      <w:sz w:val="32"/>
      <w:szCs w:val="32"/>
    </w:rPr>
  </w:style>
  <w:style w:type="character" w:styleId="a3">
    <w:name w:val="Hyperlink"/>
    <w:basedOn w:val="a0"/>
    <w:uiPriority w:val="99"/>
    <w:unhideWhenUsed/>
    <w:rsid w:val="000A4D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A4D1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A4D1C"/>
    <w:rPr>
      <w:color w:val="954F72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3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gulation.gov.ru/projects/List/AdvancedSear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View/0001202212290105" TargetMode="External"/><Relationship Id="rId5" Type="http://schemas.openxmlformats.org/officeDocument/2006/relationships/hyperlink" Target="https://regulation.gov.ru/projects/List/AdvancedSearch" TargetMode="External"/><Relationship Id="rId4" Type="http://schemas.openxmlformats.org/officeDocument/2006/relationships/hyperlink" Target="https://regulation.gov.ru/projects/List/AdvancedSearc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7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Ryazanov</dc:creator>
  <cp:keywords/>
  <dc:description/>
  <cp:lastModifiedBy>Ivan Ryazanov</cp:lastModifiedBy>
  <cp:revision>1</cp:revision>
  <dcterms:created xsi:type="dcterms:W3CDTF">2023-04-19T12:49:00Z</dcterms:created>
  <dcterms:modified xsi:type="dcterms:W3CDTF">2023-04-21T06:07:00Z</dcterms:modified>
</cp:coreProperties>
</file>